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F0A3C" w14:textId="74BD2A0A" w:rsidR="002D2CDE" w:rsidRDefault="001E5516" w:rsidP="001E5516">
      <w:pPr>
        <w:pStyle w:val="Heading1"/>
      </w:pPr>
      <w:r>
        <w:t>F</w:t>
      </w:r>
      <w:r w:rsidR="00DF6D8F">
        <w:t xml:space="preserve">requently </w:t>
      </w:r>
      <w:r>
        <w:t>A</w:t>
      </w:r>
      <w:r w:rsidR="00DF6D8F">
        <w:t xml:space="preserve">sked </w:t>
      </w:r>
      <w:r>
        <w:t>Q</w:t>
      </w:r>
      <w:r w:rsidR="00DF6D8F">
        <w:t>uestions (FAQ</w:t>
      </w:r>
      <w:r>
        <w:t>s</w:t>
      </w:r>
      <w:r w:rsidR="00DF6D8F">
        <w:t>)</w:t>
      </w:r>
    </w:p>
    <w:p w14:paraId="2FCCCCC3" w14:textId="77777777" w:rsidR="006F311E" w:rsidRDefault="006F311E" w:rsidP="006F311E">
      <w:pPr>
        <w:pStyle w:val="Heading1"/>
        <w:tabs>
          <w:tab w:val="left" w:pos="5250"/>
        </w:tabs>
      </w:pPr>
      <w:r>
        <w:t>Apprenticeship Funding guide</w:t>
      </w:r>
      <w:r>
        <w:tab/>
      </w:r>
    </w:p>
    <w:p w14:paraId="5ED83246" w14:textId="77777777" w:rsidR="006F311E" w:rsidRPr="00347271" w:rsidRDefault="006F311E" w:rsidP="006F311E">
      <w:pPr>
        <w:pStyle w:val="Heading2"/>
      </w:pPr>
      <w:r>
        <w:t>Who pays and what is the apprenticeship levy?</w:t>
      </w:r>
    </w:p>
    <w:p w14:paraId="270D94AD" w14:textId="77777777" w:rsidR="006F311E" w:rsidRDefault="006F311E" w:rsidP="006F311E">
      <w:r w:rsidRPr="00347271">
        <w:t>The levy is paid by large employers with a pay bill of over £3 million (0.5% of the total annual pay bill)</w:t>
      </w:r>
      <w:r>
        <w:t>.</w:t>
      </w:r>
      <w:r w:rsidRPr="001332DC">
        <w:t xml:space="preserve"> The payment is paid to the HMRC via PAYE returns</w:t>
      </w:r>
      <w:r w:rsidRPr="00347271">
        <w:t xml:space="preserve">. </w:t>
      </w:r>
      <w:r w:rsidRPr="00763E84">
        <w:t>As the money goes into the digital account, it gains a 10% top up from the government.</w:t>
      </w:r>
      <w:r>
        <w:t xml:space="preserve"> </w:t>
      </w:r>
      <w:r w:rsidRPr="00347271">
        <w:t>Currently, only 2% of employers pay the apprenticeship levy.</w:t>
      </w:r>
    </w:p>
    <w:p w14:paraId="4F0D843E" w14:textId="77777777" w:rsidR="006F311E" w:rsidRDefault="006F311E" w:rsidP="006F311E">
      <w:r w:rsidRPr="00372304">
        <w:t>The levy fund</w:t>
      </w:r>
      <w:r>
        <w:t>s</w:t>
      </w:r>
      <w:r w:rsidRPr="00372304">
        <w:t xml:space="preserve"> apprenticeship training for all employers. Any unspent levy funds are used to support existing apprentices to complete their training and to pay for apprenticeship training for smaller employers.</w:t>
      </w:r>
    </w:p>
    <w:p w14:paraId="54971EBB" w14:textId="77777777" w:rsidR="006F311E" w:rsidRDefault="006F311E" w:rsidP="006F311E">
      <w:r w:rsidRPr="00372304">
        <w:t>Levy paying employers can now also </w:t>
      </w:r>
      <w:hyperlink r:id="rId7" w:history="1">
        <w:r w:rsidRPr="00372304">
          <w:rPr>
            <w:rStyle w:val="Hyperlink"/>
          </w:rPr>
          <w:t>transfer up to 25% of their levy funds</w:t>
        </w:r>
      </w:hyperlink>
      <w:r w:rsidRPr="00372304">
        <w:t xml:space="preserve"> to other employers. </w:t>
      </w:r>
    </w:p>
    <w:p w14:paraId="4482CE77" w14:textId="403E49F0" w:rsidR="006F311E" w:rsidRDefault="006F311E" w:rsidP="006F311E">
      <w:r w:rsidRPr="00FB4EC6">
        <w:t>If an employer</w:t>
      </w:r>
      <w:r>
        <w:t xml:space="preserve">’s </w:t>
      </w:r>
      <w:r w:rsidRPr="00FB4EC6">
        <w:t xml:space="preserve">levy funds </w:t>
      </w:r>
      <w:proofErr w:type="gramStart"/>
      <w:r w:rsidRPr="00FB4EC6">
        <w:t>don’t</w:t>
      </w:r>
      <w:proofErr w:type="gramEnd"/>
      <w:r w:rsidRPr="00FB4EC6">
        <w:t xml:space="preserve"> cover the full cost of the apprenticeship they would like to buy, then additional support is available. The government will pay 95% of the additional costs (up to the maximum of the relevant funding band) with the employer ‘co-investing’ 5%. </w:t>
      </w:r>
      <w:r w:rsidRPr="006F311E">
        <w:rPr>
          <w:rStyle w:val="Heading1Char"/>
          <w:rFonts w:asciiTheme="minorHAnsi" w:hAnsiTheme="minorHAnsi" w:cstheme="minorHAnsi"/>
          <w:sz w:val="22"/>
          <w:szCs w:val="22"/>
        </w:rPr>
        <w:t>Best Practice Network may be able to find external funding for the 5% if you need us to.</w:t>
      </w:r>
    </w:p>
    <w:p w14:paraId="69377F99" w14:textId="77777777" w:rsidR="006F311E" w:rsidRPr="00202FEF" w:rsidRDefault="006F311E" w:rsidP="006F311E">
      <w:r w:rsidRPr="00202FEF">
        <w:t xml:space="preserve">Funds that are not spent will expire 24 months after they enter an employer’s account. </w:t>
      </w:r>
    </w:p>
    <w:p w14:paraId="1126FEA8" w14:textId="77777777" w:rsidR="006F311E" w:rsidRDefault="006F311E" w:rsidP="006F311E">
      <w:r w:rsidRPr="00202FEF">
        <w:t>Employers can use the </w:t>
      </w:r>
      <w:hyperlink r:id="rId8" w:history="1">
        <w:r w:rsidRPr="00202FEF">
          <w:rPr>
            <w:rStyle w:val="Hyperlink"/>
          </w:rPr>
          <w:t>National Apprenticeship Service’s ‘Estimate my apprenticeship funding’</w:t>
        </w:r>
      </w:hyperlink>
      <w:r w:rsidRPr="00202FEF">
        <w:t> tool to estimate how much an organisation will have available to spend on apprenticeships.</w:t>
      </w:r>
    </w:p>
    <w:p w14:paraId="20041FFE" w14:textId="77777777" w:rsidR="006F311E" w:rsidRDefault="006F311E" w:rsidP="006F311E">
      <w:pPr>
        <w:pStyle w:val="Heading2"/>
      </w:pPr>
      <w:r>
        <w:t>Not a levy payer</w:t>
      </w:r>
    </w:p>
    <w:p w14:paraId="594C0626" w14:textId="15EC51AB" w:rsidR="006F311E" w:rsidRDefault="006F311E" w:rsidP="006F311E">
      <w:r w:rsidRPr="00C83C23">
        <w:t>The levy fund</w:t>
      </w:r>
      <w:r>
        <w:t>s</w:t>
      </w:r>
      <w:r w:rsidRPr="00C83C23">
        <w:t xml:space="preserve"> apprenticeship training for all employers. Smaller employers – those with a total annual pay bill of less than £3million – pay just 5% of the cost of their apprenticeship training and the Government pays the rest</w:t>
      </w:r>
      <w:r>
        <w:t xml:space="preserve"> or</w:t>
      </w:r>
      <w:r>
        <w:t xml:space="preserve"> </w:t>
      </w:r>
      <w:r w:rsidRPr="006F311E">
        <w:rPr>
          <w:rStyle w:val="Heading1Char"/>
          <w:rFonts w:asciiTheme="minorHAnsi" w:hAnsiTheme="minorHAnsi" w:cstheme="minorHAnsi"/>
          <w:sz w:val="22"/>
          <w:szCs w:val="22"/>
        </w:rPr>
        <w:t>they can receive funds from other employer’s accounts, ask us if you need support with this</w:t>
      </w:r>
      <w:r w:rsidRPr="006F311E">
        <w:rPr>
          <w:rFonts w:asciiTheme="minorHAnsi" w:hAnsiTheme="minorHAnsi" w:cstheme="minorHAnsi"/>
          <w:szCs w:val="22"/>
        </w:rPr>
        <w:t>.</w:t>
      </w:r>
    </w:p>
    <w:p w14:paraId="5494C675" w14:textId="77777777" w:rsidR="006F311E" w:rsidRPr="00C83C23" w:rsidRDefault="006F311E" w:rsidP="006F311E">
      <w:hyperlink r:id="rId9" w:history="1">
        <w:r w:rsidRPr="00C83C23">
          <w:rPr>
            <w:rStyle w:val="Hyperlink"/>
          </w:rPr>
          <w:t>https://www.gov.uk/guidance/apprenticeship-funding-rules-for-employers/apprenticeships-funded-by-transfer-of-levy-funds</w:t>
        </w:r>
      </w:hyperlink>
    </w:p>
    <w:p w14:paraId="6A8E4A7F" w14:textId="77777777" w:rsidR="006F311E" w:rsidRDefault="006F311E" w:rsidP="006F311E">
      <w:pPr>
        <w:pStyle w:val="Heading2"/>
      </w:pPr>
      <w:r>
        <w:t>H</w:t>
      </w:r>
      <w:r w:rsidRPr="00347271">
        <w:t xml:space="preserve">ow </w:t>
      </w:r>
      <w:r>
        <w:t xml:space="preserve">to </w:t>
      </w:r>
      <w:r w:rsidRPr="00347271">
        <w:t>access funds?</w:t>
      </w:r>
    </w:p>
    <w:p w14:paraId="6FCCDBBA" w14:textId="77777777" w:rsidR="006F311E" w:rsidRPr="00372304" w:rsidRDefault="006F311E" w:rsidP="006F311E">
      <w:r w:rsidRPr="00372304">
        <w:t>The </w:t>
      </w:r>
      <w:hyperlink r:id="rId10" w:history="1">
        <w:r w:rsidRPr="00372304">
          <w:rPr>
            <w:rStyle w:val="Hyperlink"/>
          </w:rPr>
          <w:t>National Apprenticeship Service</w:t>
        </w:r>
      </w:hyperlink>
      <w:r w:rsidRPr="00372304">
        <w:t> provides face to face and telephone support to levy paying employers to help them invest their levy funds and use apprenticeships to support their businesses.</w:t>
      </w:r>
    </w:p>
    <w:p w14:paraId="21165680" w14:textId="77777777" w:rsidR="006F311E" w:rsidRPr="00347271" w:rsidRDefault="006F311E" w:rsidP="006F311E">
      <w:r w:rsidRPr="00347271">
        <w:t>Levy paying</w:t>
      </w:r>
      <w:r>
        <w:t xml:space="preserve"> (non-levy can opt to) </w:t>
      </w:r>
      <w:r w:rsidRPr="00347271">
        <w:t xml:space="preserve">employers access their funds through the online apprenticeship service. The funds are available to spend on apprenticeship training in England. For more </w:t>
      </w:r>
      <w:r>
        <w:t xml:space="preserve">in depth government </w:t>
      </w:r>
      <w:r w:rsidRPr="00347271">
        <w:t>advice</w:t>
      </w:r>
      <w:r>
        <w:t xml:space="preserve">  and support </w:t>
      </w:r>
      <w:hyperlink r:id="rId11" w:history="1">
        <w:r w:rsidRPr="00347271">
          <w:rPr>
            <w:rStyle w:val="Hyperlink"/>
          </w:rPr>
          <w:t>visit</w:t>
        </w:r>
      </w:hyperlink>
      <w:r>
        <w:t>:</w:t>
      </w:r>
    </w:p>
    <w:p w14:paraId="71011D93" w14:textId="77777777" w:rsidR="006F311E" w:rsidRDefault="006F311E" w:rsidP="006F311E">
      <w:pPr>
        <w:pStyle w:val="Heading2"/>
      </w:pPr>
      <w:r>
        <w:t>The public-sector target</w:t>
      </w:r>
    </w:p>
    <w:p w14:paraId="52D88FA1" w14:textId="77777777" w:rsidR="006F311E" w:rsidRDefault="006F311E" w:rsidP="006F311E">
      <w:r>
        <w:t xml:space="preserve">All public sector bodies with more than 250 employees must employ at least 2.3% of their total headcount as new apprentices by March 2020. If </w:t>
      </w:r>
      <w:proofErr w:type="gramStart"/>
      <w:r>
        <w:t>you’re</w:t>
      </w:r>
      <w:proofErr w:type="gramEnd"/>
      <w:r>
        <w:t xml:space="preserve"> part of a MAT, the trust may have over 250 employees across the organisation and need to meet this requirement.  </w:t>
      </w:r>
    </w:p>
    <w:p w14:paraId="590AFDCF" w14:textId="77777777" w:rsidR="006F311E" w:rsidRPr="00347271" w:rsidRDefault="006F311E" w:rsidP="006F311E"/>
    <w:p w14:paraId="15B7E4BD" w14:textId="7B5A4B93" w:rsidR="006F311E" w:rsidRPr="00347271" w:rsidRDefault="006F311E" w:rsidP="006F311E">
      <w:pPr>
        <w:pStyle w:val="Heading2"/>
      </w:pPr>
      <w:r w:rsidRPr="00347271">
        <w:lastRenderedPageBreak/>
        <w:t>How much does it cost? Funding</w:t>
      </w:r>
    </w:p>
    <w:p w14:paraId="4ACEE7C6" w14:textId="77777777" w:rsidR="006F311E" w:rsidRPr="00347271" w:rsidRDefault="006F311E" w:rsidP="006F311E">
      <w:r>
        <w:t xml:space="preserve">The Operations/Departmental Standard apprenticeship costs </w:t>
      </w:r>
      <w:r w:rsidRPr="00347271">
        <w:t xml:space="preserve">£7000 </w:t>
      </w:r>
      <w:r>
        <w:t>from Levy or non-levy funds.</w:t>
      </w:r>
    </w:p>
    <w:p w14:paraId="7E9E6AD9" w14:textId="77777777" w:rsidR="006F311E" w:rsidRPr="00347271" w:rsidRDefault="006F311E" w:rsidP="006F311E">
      <w:hyperlink r:id="rId12" w:history="1">
        <w:r w:rsidRPr="00347271">
          <w:rPr>
            <w:rStyle w:val="Hyperlink"/>
          </w:rPr>
          <w:t>https://www.apprenticeships.gov.uk/employer/how-much-is-it-going-to-cost</w:t>
        </w:r>
      </w:hyperlink>
      <w:r w:rsidRPr="00347271">
        <w:t xml:space="preserve"> </w:t>
      </w:r>
    </w:p>
    <w:p w14:paraId="1E75F175" w14:textId="77777777" w:rsidR="006F311E" w:rsidRPr="00AD5876" w:rsidRDefault="006F311E" w:rsidP="006F311E">
      <w:pPr>
        <w:pStyle w:val="Heading1"/>
        <w:jc w:val="left"/>
        <w:rPr>
          <w:sz w:val="32"/>
        </w:rPr>
      </w:pPr>
      <w:r w:rsidRPr="00AD5876">
        <w:rPr>
          <w:sz w:val="32"/>
        </w:rPr>
        <w:t>The entire apprenticeship including the NPQ’s is eligible for funding</w:t>
      </w:r>
    </w:p>
    <w:p w14:paraId="2DBCDB43" w14:textId="77777777" w:rsidR="006F311E" w:rsidRPr="00347271" w:rsidRDefault="006F311E" w:rsidP="006F311E">
      <w:pPr>
        <w:numPr>
          <w:ilvl w:val="0"/>
          <w:numId w:val="3"/>
        </w:numPr>
        <w:tabs>
          <w:tab w:val="num" w:pos="567"/>
        </w:tabs>
        <w:ind w:left="567" w:hanging="283"/>
      </w:pPr>
      <w:r w:rsidRPr="00347271">
        <w:t>The apprentice cannot pay towards an apprenticeship</w:t>
      </w:r>
    </w:p>
    <w:p w14:paraId="4134774D" w14:textId="77777777" w:rsidR="006F311E" w:rsidRDefault="006F311E" w:rsidP="006F311E">
      <w:pPr>
        <w:numPr>
          <w:ilvl w:val="0"/>
          <w:numId w:val="3"/>
        </w:numPr>
        <w:tabs>
          <w:tab w:val="num" w:pos="567"/>
        </w:tabs>
        <w:ind w:left="567" w:hanging="283"/>
      </w:pPr>
      <w:r w:rsidRPr="00347271">
        <w:t>Resits may incur extra costs to the employer</w:t>
      </w:r>
    </w:p>
    <w:p w14:paraId="14D19646" w14:textId="77777777" w:rsidR="006F311E" w:rsidRPr="00347271" w:rsidRDefault="006F311E" w:rsidP="006F311E">
      <w:pPr>
        <w:numPr>
          <w:ilvl w:val="0"/>
          <w:numId w:val="3"/>
        </w:numPr>
        <w:tabs>
          <w:tab w:val="num" w:pos="567"/>
        </w:tabs>
        <w:ind w:left="567" w:hanging="283"/>
      </w:pPr>
      <w:r>
        <w:t>Certification for the NPQ’s (if required) will incur an additional charge</w:t>
      </w:r>
    </w:p>
    <w:p w14:paraId="477EB1FA" w14:textId="77777777" w:rsidR="006F311E" w:rsidRPr="00EF0369" w:rsidRDefault="006F311E" w:rsidP="006F311E">
      <w:pPr>
        <w:pStyle w:val="Heading2"/>
      </w:pPr>
      <w:r w:rsidRPr="00EF0369">
        <w:t>How does the levy work for</w:t>
      </w:r>
      <w:r>
        <w:t xml:space="preserve"> your </w:t>
      </w:r>
      <w:r w:rsidRPr="00EF0369">
        <w:t>school? </w:t>
      </w:r>
    </w:p>
    <w:p w14:paraId="627EA6A6" w14:textId="77777777" w:rsidR="006F311E" w:rsidRDefault="006F311E" w:rsidP="006F311E">
      <w:r>
        <w:t>T</w:t>
      </w:r>
      <w:r w:rsidRPr="00EF0369">
        <w:t>he levy will work differently</w:t>
      </w:r>
      <w:r>
        <w:t xml:space="preserve"> d</w:t>
      </w:r>
      <w:r w:rsidRPr="00EF0369">
        <w:t>epending on how your school is run</w:t>
      </w:r>
      <w:r>
        <w:t xml:space="preserve">. </w:t>
      </w:r>
      <w:r w:rsidRPr="0095385B">
        <w:t>DfE estimate that around half of academy trusts, around 90% of MATs and 10% of foundation schools are affected by the Levy.</w:t>
      </w:r>
    </w:p>
    <w:p w14:paraId="2FCC1E8C" w14:textId="77777777" w:rsidR="006F311E" w:rsidRDefault="006F311E" w:rsidP="006F311E">
      <w:r w:rsidRPr="00763E84">
        <w:t xml:space="preserve">Only some schools pay the levy – whether you do or not depends on who employs the staff in your school. </w:t>
      </w:r>
      <w:r>
        <w:t xml:space="preserve">For small non-levy paying schools see above. Broadly speaking the following applies </w:t>
      </w:r>
      <w:r w:rsidRPr="006F311E">
        <w:rPr>
          <w:rStyle w:val="Heading1Char"/>
          <w:rFonts w:asciiTheme="minorHAnsi" w:hAnsiTheme="minorHAnsi" w:cstheme="minorHAnsi"/>
          <w:sz w:val="22"/>
          <w:szCs w:val="22"/>
        </w:rPr>
        <w:t>but please contact us</w:t>
      </w:r>
      <w:r w:rsidRPr="006F311E">
        <w:rPr>
          <w:rFonts w:asciiTheme="minorHAnsi" w:hAnsiTheme="minorHAnsi" w:cstheme="minorHAnsi"/>
          <w:szCs w:val="22"/>
        </w:rPr>
        <w:t xml:space="preserve"> </w:t>
      </w:r>
      <w:r>
        <w:t>to find out any information you need about funding, who to contact or how to apply.</w:t>
      </w:r>
    </w:p>
    <w:p w14:paraId="44BCBE72" w14:textId="77777777" w:rsidR="006F311E" w:rsidRPr="00621938" w:rsidRDefault="006F311E" w:rsidP="006F311E">
      <w:pPr>
        <w:pStyle w:val="Heading2"/>
        <w:rPr>
          <w:sz w:val="28"/>
        </w:rPr>
      </w:pPr>
      <w:r w:rsidRPr="00621938">
        <w:rPr>
          <w:sz w:val="28"/>
        </w:rPr>
        <w:t>1. Voluntary-aided</w:t>
      </w:r>
      <w:r>
        <w:rPr>
          <w:sz w:val="28"/>
        </w:rPr>
        <w:t xml:space="preserve"> and </w:t>
      </w:r>
      <w:r w:rsidRPr="00621938">
        <w:rPr>
          <w:sz w:val="28"/>
        </w:rPr>
        <w:t>foundation schools</w:t>
      </w:r>
    </w:p>
    <w:p w14:paraId="17E2F03C" w14:textId="77777777" w:rsidR="006F311E" w:rsidRPr="00EF0369" w:rsidRDefault="006F311E" w:rsidP="006F311E">
      <w:r w:rsidRPr="00EF0369">
        <w:t xml:space="preserve">If your governing body’s </w:t>
      </w:r>
      <w:r>
        <w:t>salary</w:t>
      </w:r>
      <w:r w:rsidRPr="00EF0369">
        <w:t xml:space="preserve"> bill is over £3 million, they</w:t>
      </w:r>
      <w:r>
        <w:t xml:space="preserve"> will</w:t>
      </w:r>
      <w:r w:rsidRPr="00EF0369">
        <w:t xml:space="preserve"> pay the levy. To access the funds, you</w:t>
      </w:r>
      <w:r>
        <w:t xml:space="preserve"> will </w:t>
      </w:r>
      <w:r w:rsidRPr="00EF0369">
        <w:t xml:space="preserve">need to get in touch with your governing body </w:t>
      </w:r>
      <w:r>
        <w:t xml:space="preserve">to </w:t>
      </w:r>
      <w:r w:rsidRPr="00EF0369">
        <w:t>see how much allocation is available</w:t>
      </w:r>
      <w:r>
        <w:t xml:space="preserve"> and agree funding.</w:t>
      </w:r>
    </w:p>
    <w:p w14:paraId="7826F8F2" w14:textId="77777777" w:rsidR="006F311E" w:rsidRPr="00621938" w:rsidRDefault="006F311E" w:rsidP="006F311E">
      <w:pPr>
        <w:pStyle w:val="Heading2"/>
        <w:rPr>
          <w:sz w:val="28"/>
        </w:rPr>
      </w:pPr>
      <w:r w:rsidRPr="00621938">
        <w:rPr>
          <w:sz w:val="28"/>
        </w:rPr>
        <w:t>2. </w:t>
      </w:r>
      <w:r>
        <w:rPr>
          <w:sz w:val="28"/>
        </w:rPr>
        <w:t>Maintained, c</w:t>
      </w:r>
      <w:r w:rsidRPr="00621938">
        <w:rPr>
          <w:sz w:val="28"/>
        </w:rPr>
        <w:t>ommunity and voluntary-aided schools </w:t>
      </w:r>
    </w:p>
    <w:p w14:paraId="0A29633D" w14:textId="77777777" w:rsidR="006F311E" w:rsidRPr="00EF0369" w:rsidRDefault="006F311E" w:rsidP="006F311E">
      <w:r w:rsidRPr="00EF0369">
        <w:t>If your local authority’s pay bill is over £3 million, they</w:t>
      </w:r>
      <w:r>
        <w:t xml:space="preserve"> will </w:t>
      </w:r>
      <w:r w:rsidRPr="00EF0369">
        <w:t>pay the levy. Your local authority shoul</w:t>
      </w:r>
      <w:r>
        <w:t>d have</w:t>
      </w:r>
      <w:r w:rsidRPr="00EF0369">
        <w:t xml:space="preserve"> let you know how much levy you have available to spend each year. If you</w:t>
      </w:r>
      <w:r>
        <w:t xml:space="preserve"> are </w:t>
      </w:r>
      <w:r w:rsidRPr="00EF0369">
        <w:t>unsure how to access the funds, contact them to find out</w:t>
      </w:r>
      <w:r>
        <w:t xml:space="preserve"> or </w:t>
      </w:r>
      <w:r w:rsidRPr="006F311E">
        <w:rPr>
          <w:rStyle w:val="Heading1Char"/>
          <w:rFonts w:asciiTheme="minorHAnsi" w:hAnsiTheme="minorHAnsi" w:cstheme="minorHAnsi"/>
          <w:sz w:val="22"/>
          <w:szCs w:val="22"/>
        </w:rPr>
        <w:t>contact Best Practice Network</w:t>
      </w:r>
      <w:r>
        <w:t xml:space="preserve"> and we will find out for you and let you know.</w:t>
      </w:r>
    </w:p>
    <w:p w14:paraId="70D0D06E" w14:textId="77777777" w:rsidR="006F311E" w:rsidRPr="00621938" w:rsidRDefault="006F311E" w:rsidP="006F311E">
      <w:pPr>
        <w:pStyle w:val="Heading2"/>
        <w:rPr>
          <w:sz w:val="28"/>
        </w:rPr>
      </w:pPr>
      <w:r w:rsidRPr="00621938">
        <w:rPr>
          <w:sz w:val="28"/>
        </w:rPr>
        <w:t>3. Academies and multi-academy trusts</w:t>
      </w:r>
      <w:r>
        <w:rPr>
          <w:sz w:val="28"/>
        </w:rPr>
        <w:t xml:space="preserve">, </w:t>
      </w:r>
      <w:r w:rsidRPr="00B64DE5">
        <w:rPr>
          <w:sz w:val="28"/>
        </w:rPr>
        <w:t>free schools</w:t>
      </w:r>
    </w:p>
    <w:p w14:paraId="15D911C9" w14:textId="77777777" w:rsidR="006F311E" w:rsidRPr="00EF0369" w:rsidRDefault="006F311E" w:rsidP="006F311E">
      <w:r w:rsidRPr="00EF0369">
        <w:t>The trust is likely to be your employer</w:t>
      </w:r>
      <w:r>
        <w:t xml:space="preserve"> </w:t>
      </w:r>
      <w:r w:rsidRPr="00EF0369">
        <w:t>and</w:t>
      </w:r>
      <w:r>
        <w:t xml:space="preserve"> i</w:t>
      </w:r>
      <w:r w:rsidRPr="0095385B">
        <w:t>f you are part of a Multi-Academy Trust (MATs), the MAT will pay the levy if the pay bill for all schools in the trust combined is greater than £3m</w:t>
      </w:r>
      <w:r w:rsidRPr="00EF0369">
        <w:t>. You</w:t>
      </w:r>
      <w:r>
        <w:t xml:space="preserve"> will </w:t>
      </w:r>
      <w:r w:rsidRPr="00EF0369">
        <w:t xml:space="preserve">need to get in contact with your trust </w:t>
      </w:r>
      <w:r>
        <w:t>to agree</w:t>
      </w:r>
      <w:r w:rsidRPr="00EF0369">
        <w:t xml:space="preserve"> the relevant funding.   </w:t>
      </w:r>
    </w:p>
    <w:p w14:paraId="438C0F61" w14:textId="77777777" w:rsidR="006F311E" w:rsidRDefault="006F311E" w:rsidP="006F311E">
      <w:pPr>
        <w:pStyle w:val="Heading2"/>
      </w:pPr>
      <w:r>
        <w:t>Payments</w:t>
      </w:r>
    </w:p>
    <w:p w14:paraId="3A9ABF0F" w14:textId="6B4B978B" w:rsidR="00DF6D8F" w:rsidRPr="00DF6D8F" w:rsidRDefault="006F311E" w:rsidP="006F311E">
      <w:r w:rsidRPr="00CC2D72">
        <w:t xml:space="preserve">Payments are spread across the duration of the apprenticeship - taken each month by </w:t>
      </w:r>
      <w:r>
        <w:t>Best Practice Network</w:t>
      </w:r>
      <w:r w:rsidRPr="00CC2D72">
        <w:t xml:space="preserve">. </w:t>
      </w:r>
      <w:r>
        <w:t>There</w:t>
      </w:r>
      <w:r w:rsidRPr="00CC2D72">
        <w:t xml:space="preserve"> need</w:t>
      </w:r>
      <w:r>
        <w:t xml:space="preserve">s to be </w:t>
      </w:r>
      <w:r w:rsidRPr="00CC2D72">
        <w:t xml:space="preserve">enough funds in </w:t>
      </w:r>
      <w:r>
        <w:t xml:space="preserve">the </w:t>
      </w:r>
      <w:r w:rsidRPr="00CC2D72">
        <w:t xml:space="preserve">account to meet the monthly payments. In addition, 20% of the cost of the apprenticeship will be held back and taken from </w:t>
      </w:r>
      <w:r>
        <w:t>the</w:t>
      </w:r>
      <w:r w:rsidRPr="00CC2D72">
        <w:t xml:space="preserve"> Apprenticeship Service</w:t>
      </w:r>
      <w:r>
        <w:t xml:space="preserve"> </w:t>
      </w:r>
      <w:r w:rsidRPr="00CC2D72">
        <w:t>(AS) online account at the end of the apprenticeship.</w:t>
      </w:r>
    </w:p>
    <w:sectPr w:rsidR="00DF6D8F" w:rsidRPr="00DF6D8F" w:rsidSect="00EE202B">
      <w:footerReference w:type="default" r:id="rId13"/>
      <w:pgSz w:w="11906" w:h="16838"/>
      <w:pgMar w:top="908" w:right="849" w:bottom="993" w:left="851" w:header="567" w:footer="50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3582D" w14:textId="77777777" w:rsidR="00F870A4" w:rsidRDefault="00F870A4">
      <w:r>
        <w:separator/>
      </w:r>
    </w:p>
  </w:endnote>
  <w:endnote w:type="continuationSeparator" w:id="0">
    <w:p w14:paraId="0A23F5E3" w14:textId="77777777" w:rsidR="00F870A4" w:rsidRDefault="00F8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71E30" w14:textId="77777777" w:rsidR="00EE202B" w:rsidRDefault="00EE202B" w:rsidP="00EE202B">
    <w:pPr>
      <w:pStyle w:val="Footer"/>
      <w:tabs>
        <w:tab w:val="clear" w:pos="4153"/>
        <w:tab w:val="clear" w:pos="8306"/>
        <w:tab w:val="center" w:pos="3402"/>
        <w:tab w:val="right" w:pos="10206"/>
      </w:tabs>
      <w:spacing w:after="0"/>
      <w:jc w:val="right"/>
      <w:rPr>
        <w:noProof/>
        <w:color w:val="717171" w:themeColor="accent2"/>
        <w:sz w:val="16"/>
        <w:szCs w:val="16"/>
      </w:rPr>
    </w:pPr>
    <w:r w:rsidRPr="00EB08AB">
      <w:rPr>
        <w:rFonts w:ascii="Century Gothic" w:hAnsi="Century Gothic"/>
        <w:b/>
        <w:noProof/>
        <w:color w:val="B7B7B7" w:themeColor="accent3"/>
        <w:sz w:val="44"/>
      </w:rPr>
      <w:drawing>
        <wp:anchor distT="0" distB="0" distL="114300" distR="114300" simplePos="0" relativeHeight="251685888" behindDoc="0" locked="0" layoutInCell="1" allowOverlap="1" wp14:anchorId="6F6EA733" wp14:editId="031143F8">
          <wp:simplePos x="0" y="0"/>
          <wp:positionH relativeFrom="column">
            <wp:posOffset>-3587</wp:posOffset>
          </wp:positionH>
          <wp:positionV relativeFrom="paragraph">
            <wp:posOffset>114300</wp:posOffset>
          </wp:positionV>
          <wp:extent cx="812416" cy="480951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LP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2416" cy="480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02B">
      <w:rPr>
        <w:noProof/>
        <w:color w:val="717171" w:themeColor="accent2"/>
        <w:sz w:val="16"/>
        <w:szCs w:val="16"/>
      </w:rPr>
      <w:tab/>
    </w:r>
  </w:p>
  <w:p w14:paraId="02CE16E5" w14:textId="77777777" w:rsidR="00EE202B" w:rsidRDefault="00EE202B" w:rsidP="00EE202B">
    <w:pPr>
      <w:pStyle w:val="Footer"/>
      <w:tabs>
        <w:tab w:val="clear" w:pos="4153"/>
        <w:tab w:val="clear" w:pos="8306"/>
        <w:tab w:val="center" w:pos="2835"/>
        <w:tab w:val="right" w:pos="10206"/>
      </w:tabs>
      <w:spacing w:after="0"/>
      <w:jc w:val="right"/>
      <w:rPr>
        <w:noProof/>
        <w:color w:val="717171" w:themeColor="accent2"/>
        <w:sz w:val="14"/>
        <w:szCs w:val="16"/>
      </w:rPr>
    </w:pPr>
    <w:r>
      <w:rPr>
        <w:noProof/>
        <w:color w:val="717171" w:themeColor="accent2"/>
        <w:sz w:val="16"/>
        <w:szCs w:val="16"/>
      </w:rPr>
      <w:tab/>
    </w:r>
    <w:r w:rsidRPr="00EE202B">
      <w:rPr>
        <w:noProof/>
        <w:color w:val="717171" w:themeColor="accent2"/>
        <w:sz w:val="14"/>
        <w:szCs w:val="16"/>
      </w:rPr>
      <w:t xml:space="preserve"> Document: </w:t>
    </w:r>
    <w:r w:rsidR="00DF6D8F">
      <w:rPr>
        <w:noProof/>
        <w:color w:val="717171" w:themeColor="accent2"/>
        <w:sz w:val="14"/>
        <w:szCs w:val="16"/>
      </w:rPr>
      <w:t>Dual-Award FAQs</w:t>
    </w:r>
    <w:r w:rsidRPr="00EE202B">
      <w:rPr>
        <w:noProof/>
        <w:color w:val="717171" w:themeColor="accent2"/>
        <w:sz w:val="14"/>
        <w:szCs w:val="16"/>
      </w:rPr>
      <w:t xml:space="preserve"> Current as of: </w:t>
    </w:r>
    <w:r w:rsidR="00DF6D8F">
      <w:rPr>
        <w:noProof/>
        <w:color w:val="717171" w:themeColor="accent2"/>
        <w:sz w:val="14"/>
        <w:szCs w:val="16"/>
      </w:rPr>
      <w:t>26/03/2020</w:t>
    </w:r>
    <w:r w:rsidRPr="00EE202B">
      <w:rPr>
        <w:noProof/>
        <w:color w:val="717171" w:themeColor="accent2"/>
        <w:sz w:val="14"/>
        <w:szCs w:val="16"/>
      </w:rPr>
      <w:t xml:space="preserve"> </w:t>
    </w:r>
  </w:p>
  <w:p w14:paraId="3751018B" w14:textId="77777777" w:rsidR="0024517E" w:rsidRDefault="00EE202B" w:rsidP="00EE202B">
    <w:pPr>
      <w:pStyle w:val="Footer"/>
      <w:tabs>
        <w:tab w:val="clear" w:pos="4153"/>
        <w:tab w:val="clear" w:pos="8306"/>
        <w:tab w:val="center" w:pos="2835"/>
        <w:tab w:val="right" w:pos="10206"/>
      </w:tabs>
      <w:spacing w:after="0"/>
      <w:jc w:val="right"/>
      <w:rPr>
        <w:noProof/>
        <w:color w:val="717171" w:themeColor="accent2"/>
        <w:sz w:val="16"/>
        <w:szCs w:val="16"/>
      </w:rPr>
    </w:pPr>
    <w:r w:rsidRPr="00EE202B">
      <w:rPr>
        <w:noProof/>
        <w:color w:val="717171" w:themeColor="accent2"/>
        <w:sz w:val="14"/>
        <w:szCs w:val="16"/>
      </w:rPr>
      <w:t xml:space="preserve">Doc class: Public Approved by: </w:t>
    </w:r>
    <w:r w:rsidR="00DF6D8F">
      <w:rPr>
        <w:noProof/>
        <w:color w:val="717171" w:themeColor="accent2"/>
        <w:sz w:val="14"/>
        <w:szCs w:val="16"/>
      </w:rPr>
      <w:t>CL</w:t>
    </w:r>
  </w:p>
  <w:p w14:paraId="39B50DBC" w14:textId="77777777" w:rsidR="0024517E" w:rsidRPr="00EE202B" w:rsidRDefault="0024517E" w:rsidP="00EE202B">
    <w:pPr>
      <w:pStyle w:val="Footer"/>
      <w:tabs>
        <w:tab w:val="clear" w:pos="4153"/>
        <w:tab w:val="clear" w:pos="8306"/>
        <w:tab w:val="center" w:pos="2835"/>
        <w:tab w:val="right" w:pos="10206"/>
      </w:tabs>
      <w:spacing w:after="0"/>
      <w:jc w:val="right"/>
      <w:rPr>
        <w:rStyle w:val="PageNumber"/>
        <w:color w:val="717171" w:themeColor="accent2"/>
        <w:sz w:val="18"/>
        <w:szCs w:val="18"/>
      </w:rPr>
    </w:pPr>
    <w:r>
      <w:rPr>
        <w:b/>
        <w:color w:val="717171"/>
        <w:sz w:val="12"/>
        <w:szCs w:val="12"/>
      </w:rPr>
      <w:tab/>
    </w:r>
    <w:r>
      <w:rPr>
        <w:b/>
        <w:color w:val="717171"/>
        <w:sz w:val="12"/>
        <w:szCs w:val="12"/>
      </w:rPr>
      <w:tab/>
    </w:r>
    <w:r w:rsidRPr="00EE202B">
      <w:rPr>
        <w:color w:val="717171"/>
        <w:sz w:val="12"/>
        <w:szCs w:val="12"/>
      </w:rPr>
      <w:t xml:space="preserve">PAGE </w:t>
    </w:r>
    <w:r w:rsidRPr="00EE202B">
      <w:rPr>
        <w:rStyle w:val="PageNumber"/>
        <w:color w:val="717171"/>
        <w:szCs w:val="12"/>
      </w:rPr>
      <w:fldChar w:fldCharType="begin"/>
    </w:r>
    <w:r w:rsidRPr="00EE202B">
      <w:rPr>
        <w:rStyle w:val="PageNumber"/>
        <w:color w:val="717171"/>
        <w:szCs w:val="12"/>
      </w:rPr>
      <w:instrText xml:space="preserve"> PAGE  </w:instrText>
    </w:r>
    <w:r w:rsidRPr="00EE202B">
      <w:rPr>
        <w:rStyle w:val="PageNumber"/>
        <w:color w:val="717171"/>
        <w:szCs w:val="12"/>
      </w:rPr>
      <w:fldChar w:fldCharType="separate"/>
    </w:r>
    <w:r w:rsidR="00EE202B">
      <w:rPr>
        <w:rStyle w:val="PageNumber"/>
        <w:noProof/>
        <w:color w:val="717171"/>
        <w:szCs w:val="12"/>
      </w:rPr>
      <w:t>1</w:t>
    </w:r>
    <w:r w:rsidRPr="00EE202B">
      <w:rPr>
        <w:rStyle w:val="PageNumber"/>
        <w:color w:val="717171"/>
        <w:szCs w:val="12"/>
      </w:rPr>
      <w:fldChar w:fldCharType="end"/>
    </w:r>
    <w:r w:rsidRPr="00EE202B">
      <w:rPr>
        <w:rStyle w:val="PageNumber"/>
        <w:color w:val="717171"/>
        <w:szCs w:val="12"/>
      </w:rPr>
      <w:t xml:space="preserve"> of </w:t>
    </w:r>
    <w:r w:rsidRPr="00EE202B">
      <w:rPr>
        <w:rStyle w:val="PageNumber"/>
        <w:color w:val="717171"/>
        <w:szCs w:val="12"/>
      </w:rPr>
      <w:fldChar w:fldCharType="begin"/>
    </w:r>
    <w:r w:rsidRPr="00EE202B">
      <w:rPr>
        <w:rStyle w:val="PageNumber"/>
        <w:color w:val="717171"/>
        <w:szCs w:val="12"/>
      </w:rPr>
      <w:instrText xml:space="preserve"> NUMPAGES </w:instrText>
    </w:r>
    <w:r w:rsidRPr="00EE202B">
      <w:rPr>
        <w:rStyle w:val="PageNumber"/>
        <w:color w:val="717171"/>
        <w:szCs w:val="12"/>
      </w:rPr>
      <w:fldChar w:fldCharType="separate"/>
    </w:r>
    <w:r w:rsidR="00EE202B">
      <w:rPr>
        <w:rStyle w:val="PageNumber"/>
        <w:noProof/>
        <w:color w:val="717171"/>
        <w:szCs w:val="12"/>
      </w:rPr>
      <w:t>1</w:t>
    </w:r>
    <w:r w:rsidRPr="00EE202B">
      <w:rPr>
        <w:rStyle w:val="PageNumber"/>
        <w:color w:val="717171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7791B" w14:textId="77777777" w:rsidR="00F870A4" w:rsidRDefault="00F870A4">
      <w:r>
        <w:separator/>
      </w:r>
    </w:p>
  </w:footnote>
  <w:footnote w:type="continuationSeparator" w:id="0">
    <w:p w14:paraId="47C49C5D" w14:textId="77777777" w:rsidR="00F870A4" w:rsidRDefault="00F870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562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4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829E72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5" w15:restartNumberingAfterBreak="0">
    <w:nsid w:val="FFFFFF81"/>
    <w:multiLevelType w:val="singleLevel"/>
    <w:tmpl w:val="2910C39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FFFFFF82"/>
    <w:multiLevelType w:val="singleLevel"/>
    <w:tmpl w:val="0756AEB4"/>
    <w:lvl w:ilvl="0">
      <w:start w:val="1"/>
      <w:numFmt w:val="bullet"/>
      <w:pStyle w:val="ListBullet3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color w:val="1E73B9"/>
        <w:sz w:val="32"/>
      </w:rPr>
    </w:lvl>
  </w:abstractNum>
  <w:abstractNum w:abstractNumId="7" w15:restartNumberingAfterBreak="0">
    <w:nsid w:val="FFFFFF83"/>
    <w:multiLevelType w:val="singleLevel"/>
    <w:tmpl w:val="FA6802D6"/>
    <w:lvl w:ilvl="0">
      <w:start w:val="1"/>
      <w:numFmt w:val="bullet"/>
      <w:pStyle w:val="ListBullet2"/>
      <w:lvlText w:val="§"/>
      <w:lvlJc w:val="left"/>
      <w:pPr>
        <w:ind w:left="1211" w:hanging="360"/>
      </w:pPr>
      <w:rPr>
        <w:rFonts w:ascii="Wingdings" w:hAnsi="Wingdings" w:hint="default"/>
        <w:b w:val="0"/>
        <w:i w:val="0"/>
        <w:color w:val="1E73B9"/>
        <w:sz w:val="32"/>
      </w:rPr>
    </w:lvl>
  </w:abstractNum>
  <w:abstractNum w:abstractNumId="8" w15:restartNumberingAfterBreak="0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1676F098"/>
    <w:lvl w:ilvl="0">
      <w:start w:val="1"/>
      <w:numFmt w:val="bullet"/>
      <w:pStyle w:val="ListBullet"/>
      <w:lvlText w:val="§"/>
      <w:lvlJc w:val="left"/>
      <w:pPr>
        <w:ind w:left="644" w:hanging="360"/>
      </w:pPr>
      <w:rPr>
        <w:rFonts w:ascii="Wingdings" w:hAnsi="Wingdings" w:hint="default"/>
        <w:b w:val="0"/>
        <w:i w:val="0"/>
        <w:color w:val="1E73B9"/>
        <w:sz w:val="32"/>
      </w:rPr>
    </w:lvl>
  </w:abstractNum>
  <w:abstractNum w:abstractNumId="10" w15:restartNumberingAfterBreak="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0C"/>
    <w:rsid w:val="00000692"/>
    <w:rsid w:val="0001302E"/>
    <w:rsid w:val="00013309"/>
    <w:rsid w:val="000173C2"/>
    <w:rsid w:val="000174C4"/>
    <w:rsid w:val="000219B0"/>
    <w:rsid w:val="00022470"/>
    <w:rsid w:val="0002403D"/>
    <w:rsid w:val="00025B89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BDA"/>
    <w:rsid w:val="00072F0D"/>
    <w:rsid w:val="000737DF"/>
    <w:rsid w:val="00083F48"/>
    <w:rsid w:val="0008492E"/>
    <w:rsid w:val="00084FAF"/>
    <w:rsid w:val="00085560"/>
    <w:rsid w:val="00085738"/>
    <w:rsid w:val="00087CE2"/>
    <w:rsid w:val="000946C6"/>
    <w:rsid w:val="000966A0"/>
    <w:rsid w:val="00097ECA"/>
    <w:rsid w:val="000A1C0F"/>
    <w:rsid w:val="000A1DBF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E141C"/>
    <w:rsid w:val="000E42D4"/>
    <w:rsid w:val="000F0C67"/>
    <w:rsid w:val="000F0D60"/>
    <w:rsid w:val="000F0E8E"/>
    <w:rsid w:val="000F2770"/>
    <w:rsid w:val="000F311F"/>
    <w:rsid w:val="0010212A"/>
    <w:rsid w:val="0010243C"/>
    <w:rsid w:val="00102C04"/>
    <w:rsid w:val="00102ECB"/>
    <w:rsid w:val="00102F71"/>
    <w:rsid w:val="00110D77"/>
    <w:rsid w:val="00112BA9"/>
    <w:rsid w:val="001239F2"/>
    <w:rsid w:val="001275C9"/>
    <w:rsid w:val="001303DB"/>
    <w:rsid w:val="00130660"/>
    <w:rsid w:val="00130852"/>
    <w:rsid w:val="00130A2E"/>
    <w:rsid w:val="00133353"/>
    <w:rsid w:val="00133FCC"/>
    <w:rsid w:val="00134BE0"/>
    <w:rsid w:val="00136542"/>
    <w:rsid w:val="00137A59"/>
    <w:rsid w:val="00140726"/>
    <w:rsid w:val="00142C15"/>
    <w:rsid w:val="00143DC6"/>
    <w:rsid w:val="00147A0B"/>
    <w:rsid w:val="00147F77"/>
    <w:rsid w:val="00152671"/>
    <w:rsid w:val="00152780"/>
    <w:rsid w:val="0015308F"/>
    <w:rsid w:val="00153923"/>
    <w:rsid w:val="00153DC5"/>
    <w:rsid w:val="001547F0"/>
    <w:rsid w:val="001574C7"/>
    <w:rsid w:val="001576F0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6204"/>
    <w:rsid w:val="001D32C0"/>
    <w:rsid w:val="001D64C1"/>
    <w:rsid w:val="001E5516"/>
    <w:rsid w:val="001F1A29"/>
    <w:rsid w:val="001F2377"/>
    <w:rsid w:val="001F2F4D"/>
    <w:rsid w:val="002002B9"/>
    <w:rsid w:val="00202D2E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40263"/>
    <w:rsid w:val="00242759"/>
    <w:rsid w:val="0024517E"/>
    <w:rsid w:val="002455F7"/>
    <w:rsid w:val="002467C1"/>
    <w:rsid w:val="002469A1"/>
    <w:rsid w:val="00247E18"/>
    <w:rsid w:val="00256079"/>
    <w:rsid w:val="00257013"/>
    <w:rsid w:val="00262054"/>
    <w:rsid w:val="00264276"/>
    <w:rsid w:val="002646A3"/>
    <w:rsid w:val="00265885"/>
    <w:rsid w:val="002658CE"/>
    <w:rsid w:val="00267A06"/>
    <w:rsid w:val="002720CA"/>
    <w:rsid w:val="00280BCC"/>
    <w:rsid w:val="00283982"/>
    <w:rsid w:val="00283B3B"/>
    <w:rsid w:val="00284DFA"/>
    <w:rsid w:val="00286523"/>
    <w:rsid w:val="00290AE2"/>
    <w:rsid w:val="002935DB"/>
    <w:rsid w:val="002967CE"/>
    <w:rsid w:val="002A0E08"/>
    <w:rsid w:val="002A4DE0"/>
    <w:rsid w:val="002B0E66"/>
    <w:rsid w:val="002B1BBA"/>
    <w:rsid w:val="002B2614"/>
    <w:rsid w:val="002B2E70"/>
    <w:rsid w:val="002B3DC9"/>
    <w:rsid w:val="002B61C9"/>
    <w:rsid w:val="002C18ED"/>
    <w:rsid w:val="002C1A96"/>
    <w:rsid w:val="002C1EC0"/>
    <w:rsid w:val="002C2DA0"/>
    <w:rsid w:val="002C6BD0"/>
    <w:rsid w:val="002C7172"/>
    <w:rsid w:val="002D27C9"/>
    <w:rsid w:val="002D2CDE"/>
    <w:rsid w:val="002D5016"/>
    <w:rsid w:val="002D51A8"/>
    <w:rsid w:val="002D52CC"/>
    <w:rsid w:val="002D5902"/>
    <w:rsid w:val="002D6F25"/>
    <w:rsid w:val="002E2F52"/>
    <w:rsid w:val="002E50DD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7B0D"/>
    <w:rsid w:val="0032098A"/>
    <w:rsid w:val="00323B40"/>
    <w:rsid w:val="003262C2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5C9B"/>
    <w:rsid w:val="0036799B"/>
    <w:rsid w:val="0037119E"/>
    <w:rsid w:val="003822BA"/>
    <w:rsid w:val="00382E06"/>
    <w:rsid w:val="00384642"/>
    <w:rsid w:val="00384DCC"/>
    <w:rsid w:val="0039317C"/>
    <w:rsid w:val="003943F0"/>
    <w:rsid w:val="00395C1D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E15"/>
    <w:rsid w:val="004173EC"/>
    <w:rsid w:val="00423F38"/>
    <w:rsid w:val="0043003B"/>
    <w:rsid w:val="0043150D"/>
    <w:rsid w:val="00433792"/>
    <w:rsid w:val="00437773"/>
    <w:rsid w:val="004451B1"/>
    <w:rsid w:val="0044596F"/>
    <w:rsid w:val="00451135"/>
    <w:rsid w:val="004513A2"/>
    <w:rsid w:val="00451B44"/>
    <w:rsid w:val="004629F1"/>
    <w:rsid w:val="00464BEE"/>
    <w:rsid w:val="00470B62"/>
    <w:rsid w:val="00471529"/>
    <w:rsid w:val="00473A0A"/>
    <w:rsid w:val="00474BAE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471F"/>
    <w:rsid w:val="004C5818"/>
    <w:rsid w:val="004C7024"/>
    <w:rsid w:val="004C73E7"/>
    <w:rsid w:val="004C752B"/>
    <w:rsid w:val="004D0986"/>
    <w:rsid w:val="004D2F48"/>
    <w:rsid w:val="004D329E"/>
    <w:rsid w:val="004D4746"/>
    <w:rsid w:val="004D6CC7"/>
    <w:rsid w:val="004D6E07"/>
    <w:rsid w:val="004D701D"/>
    <w:rsid w:val="004E3865"/>
    <w:rsid w:val="004E6516"/>
    <w:rsid w:val="00500824"/>
    <w:rsid w:val="005015E2"/>
    <w:rsid w:val="00503973"/>
    <w:rsid w:val="005109DF"/>
    <w:rsid w:val="00512F21"/>
    <w:rsid w:val="00517B9B"/>
    <w:rsid w:val="00522D5C"/>
    <w:rsid w:val="00525988"/>
    <w:rsid w:val="0053273C"/>
    <w:rsid w:val="005335F8"/>
    <w:rsid w:val="00535100"/>
    <w:rsid w:val="00546F21"/>
    <w:rsid w:val="005477F8"/>
    <w:rsid w:val="005479E6"/>
    <w:rsid w:val="00550C02"/>
    <w:rsid w:val="0055246C"/>
    <w:rsid w:val="00554171"/>
    <w:rsid w:val="00557999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50A8"/>
    <w:rsid w:val="00585D8C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2E9C"/>
    <w:rsid w:val="005B5B05"/>
    <w:rsid w:val="005C042C"/>
    <w:rsid w:val="005C1FB4"/>
    <w:rsid w:val="005C3614"/>
    <w:rsid w:val="005C3744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1CC1"/>
    <w:rsid w:val="005F4495"/>
    <w:rsid w:val="005F50B2"/>
    <w:rsid w:val="005F7D94"/>
    <w:rsid w:val="00604348"/>
    <w:rsid w:val="00605340"/>
    <w:rsid w:val="006069AC"/>
    <w:rsid w:val="006073EE"/>
    <w:rsid w:val="00611702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6D48"/>
    <w:rsid w:val="0064797D"/>
    <w:rsid w:val="00654A6A"/>
    <w:rsid w:val="0066011F"/>
    <w:rsid w:val="00661283"/>
    <w:rsid w:val="006618D9"/>
    <w:rsid w:val="00662C54"/>
    <w:rsid w:val="0066533E"/>
    <w:rsid w:val="00671D40"/>
    <w:rsid w:val="006764C0"/>
    <w:rsid w:val="006767FB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A1CFE"/>
    <w:rsid w:val="006A33F5"/>
    <w:rsid w:val="006A5480"/>
    <w:rsid w:val="006A79EC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11E"/>
    <w:rsid w:val="006F3D87"/>
    <w:rsid w:val="006F4DDE"/>
    <w:rsid w:val="006F75DD"/>
    <w:rsid w:val="00700597"/>
    <w:rsid w:val="0070160A"/>
    <w:rsid w:val="0070394F"/>
    <w:rsid w:val="0070762B"/>
    <w:rsid w:val="0071037F"/>
    <w:rsid w:val="007121F0"/>
    <w:rsid w:val="00713532"/>
    <w:rsid w:val="00716B82"/>
    <w:rsid w:val="007174A5"/>
    <w:rsid w:val="00717E62"/>
    <w:rsid w:val="0072326A"/>
    <w:rsid w:val="00723F68"/>
    <w:rsid w:val="00724825"/>
    <w:rsid w:val="00727E7C"/>
    <w:rsid w:val="00733B0B"/>
    <w:rsid w:val="007426C8"/>
    <w:rsid w:val="007447A4"/>
    <w:rsid w:val="007471AE"/>
    <w:rsid w:val="00752034"/>
    <w:rsid w:val="00762528"/>
    <w:rsid w:val="007640E5"/>
    <w:rsid w:val="00765177"/>
    <w:rsid w:val="00771BEE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3850"/>
    <w:rsid w:val="007B6E3E"/>
    <w:rsid w:val="007C340A"/>
    <w:rsid w:val="007C47ED"/>
    <w:rsid w:val="007C68AE"/>
    <w:rsid w:val="007C7BD7"/>
    <w:rsid w:val="007D218D"/>
    <w:rsid w:val="007D7D8C"/>
    <w:rsid w:val="007E572B"/>
    <w:rsid w:val="007E7154"/>
    <w:rsid w:val="007E7DDA"/>
    <w:rsid w:val="007F4141"/>
    <w:rsid w:val="007F7637"/>
    <w:rsid w:val="008025DD"/>
    <w:rsid w:val="008055FF"/>
    <w:rsid w:val="00805744"/>
    <w:rsid w:val="00806587"/>
    <w:rsid w:val="0080746E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1D0"/>
    <w:rsid w:val="0084785E"/>
    <w:rsid w:val="008542E5"/>
    <w:rsid w:val="00855D81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94B"/>
    <w:rsid w:val="0088645D"/>
    <w:rsid w:val="00886764"/>
    <w:rsid w:val="00890D2E"/>
    <w:rsid w:val="008920F0"/>
    <w:rsid w:val="00892F35"/>
    <w:rsid w:val="00896C7E"/>
    <w:rsid w:val="0089723A"/>
    <w:rsid w:val="008A01F0"/>
    <w:rsid w:val="008A0C80"/>
    <w:rsid w:val="008A0DC8"/>
    <w:rsid w:val="008A1271"/>
    <w:rsid w:val="008B23E3"/>
    <w:rsid w:val="008B24D9"/>
    <w:rsid w:val="008B2B13"/>
    <w:rsid w:val="008B372F"/>
    <w:rsid w:val="008B3A32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104E3"/>
    <w:rsid w:val="00910655"/>
    <w:rsid w:val="00912E7D"/>
    <w:rsid w:val="00912FAF"/>
    <w:rsid w:val="0092355E"/>
    <w:rsid w:val="009239B8"/>
    <w:rsid w:val="009259D4"/>
    <w:rsid w:val="00927D02"/>
    <w:rsid w:val="009301F8"/>
    <w:rsid w:val="00930243"/>
    <w:rsid w:val="009324C4"/>
    <w:rsid w:val="009349C0"/>
    <w:rsid w:val="0093637F"/>
    <w:rsid w:val="00943C9B"/>
    <w:rsid w:val="00950335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5345"/>
    <w:rsid w:val="00975358"/>
    <w:rsid w:val="00976019"/>
    <w:rsid w:val="009772A0"/>
    <w:rsid w:val="00977AE9"/>
    <w:rsid w:val="00983B9C"/>
    <w:rsid w:val="009916D6"/>
    <w:rsid w:val="00991CE4"/>
    <w:rsid w:val="00992E82"/>
    <w:rsid w:val="009957F3"/>
    <w:rsid w:val="009960AF"/>
    <w:rsid w:val="009974CA"/>
    <w:rsid w:val="009A0405"/>
    <w:rsid w:val="009A28BB"/>
    <w:rsid w:val="009A415F"/>
    <w:rsid w:val="009A7132"/>
    <w:rsid w:val="009B730E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51F1"/>
    <w:rsid w:val="009E529B"/>
    <w:rsid w:val="009E64FA"/>
    <w:rsid w:val="009F381F"/>
    <w:rsid w:val="009F598F"/>
    <w:rsid w:val="009F6D1B"/>
    <w:rsid w:val="009F7BD2"/>
    <w:rsid w:val="00A017D0"/>
    <w:rsid w:val="00A053E9"/>
    <w:rsid w:val="00A1145B"/>
    <w:rsid w:val="00A11649"/>
    <w:rsid w:val="00A11748"/>
    <w:rsid w:val="00A12D43"/>
    <w:rsid w:val="00A13554"/>
    <w:rsid w:val="00A16ADE"/>
    <w:rsid w:val="00A2529C"/>
    <w:rsid w:val="00A360F7"/>
    <w:rsid w:val="00A36952"/>
    <w:rsid w:val="00A43FC1"/>
    <w:rsid w:val="00A44B90"/>
    <w:rsid w:val="00A45BE7"/>
    <w:rsid w:val="00A46D5B"/>
    <w:rsid w:val="00A470F5"/>
    <w:rsid w:val="00A54040"/>
    <w:rsid w:val="00A5452E"/>
    <w:rsid w:val="00A54EA4"/>
    <w:rsid w:val="00A5503A"/>
    <w:rsid w:val="00A56729"/>
    <w:rsid w:val="00A578CA"/>
    <w:rsid w:val="00A623D1"/>
    <w:rsid w:val="00A6448E"/>
    <w:rsid w:val="00A64A22"/>
    <w:rsid w:val="00A64CCE"/>
    <w:rsid w:val="00A670CA"/>
    <w:rsid w:val="00A718BD"/>
    <w:rsid w:val="00A72D89"/>
    <w:rsid w:val="00A73B80"/>
    <w:rsid w:val="00A815D7"/>
    <w:rsid w:val="00A83117"/>
    <w:rsid w:val="00A8677B"/>
    <w:rsid w:val="00A8789E"/>
    <w:rsid w:val="00A87A3B"/>
    <w:rsid w:val="00A915C3"/>
    <w:rsid w:val="00A91AA2"/>
    <w:rsid w:val="00A9229D"/>
    <w:rsid w:val="00A9253C"/>
    <w:rsid w:val="00A93BFC"/>
    <w:rsid w:val="00A9643C"/>
    <w:rsid w:val="00A967BA"/>
    <w:rsid w:val="00A96A39"/>
    <w:rsid w:val="00A97F5E"/>
    <w:rsid w:val="00AA1304"/>
    <w:rsid w:val="00AA2713"/>
    <w:rsid w:val="00AB7880"/>
    <w:rsid w:val="00AC1482"/>
    <w:rsid w:val="00AC4B78"/>
    <w:rsid w:val="00AD3B7A"/>
    <w:rsid w:val="00AD47F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6180"/>
    <w:rsid w:val="00B07001"/>
    <w:rsid w:val="00B118D5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9195B"/>
    <w:rsid w:val="00B92E6B"/>
    <w:rsid w:val="00BA01C7"/>
    <w:rsid w:val="00BA2200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1FC4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46177"/>
    <w:rsid w:val="00C511BF"/>
    <w:rsid w:val="00C53043"/>
    <w:rsid w:val="00C53A98"/>
    <w:rsid w:val="00C56908"/>
    <w:rsid w:val="00C56F5C"/>
    <w:rsid w:val="00C601DB"/>
    <w:rsid w:val="00C629E5"/>
    <w:rsid w:val="00C62F8D"/>
    <w:rsid w:val="00C64BB4"/>
    <w:rsid w:val="00C67A99"/>
    <w:rsid w:val="00C731F3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6B9B"/>
    <w:rsid w:val="00C96D29"/>
    <w:rsid w:val="00C970ED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647"/>
    <w:rsid w:val="00CB668F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18E5"/>
    <w:rsid w:val="00CF33AD"/>
    <w:rsid w:val="00CF4956"/>
    <w:rsid w:val="00D030C0"/>
    <w:rsid w:val="00D079B1"/>
    <w:rsid w:val="00D11871"/>
    <w:rsid w:val="00D177AE"/>
    <w:rsid w:val="00D1797A"/>
    <w:rsid w:val="00D213A9"/>
    <w:rsid w:val="00D23B00"/>
    <w:rsid w:val="00D25A10"/>
    <w:rsid w:val="00D25E66"/>
    <w:rsid w:val="00D2608A"/>
    <w:rsid w:val="00D26B88"/>
    <w:rsid w:val="00D3212A"/>
    <w:rsid w:val="00D345B0"/>
    <w:rsid w:val="00D41BAD"/>
    <w:rsid w:val="00D42D4A"/>
    <w:rsid w:val="00D4390E"/>
    <w:rsid w:val="00D460B6"/>
    <w:rsid w:val="00D46400"/>
    <w:rsid w:val="00D50658"/>
    <w:rsid w:val="00D50C45"/>
    <w:rsid w:val="00D527D0"/>
    <w:rsid w:val="00D54A7C"/>
    <w:rsid w:val="00D56D64"/>
    <w:rsid w:val="00D57D2F"/>
    <w:rsid w:val="00D63EA8"/>
    <w:rsid w:val="00D63F59"/>
    <w:rsid w:val="00D658AB"/>
    <w:rsid w:val="00D65DB0"/>
    <w:rsid w:val="00D669BD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3440"/>
    <w:rsid w:val="00DA4FF7"/>
    <w:rsid w:val="00DA560E"/>
    <w:rsid w:val="00DA5987"/>
    <w:rsid w:val="00DB3259"/>
    <w:rsid w:val="00DB7083"/>
    <w:rsid w:val="00DB70D0"/>
    <w:rsid w:val="00DC0C4A"/>
    <w:rsid w:val="00DC3F25"/>
    <w:rsid w:val="00DC75E4"/>
    <w:rsid w:val="00DD1FA6"/>
    <w:rsid w:val="00DD27BB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6D8F"/>
    <w:rsid w:val="00DF7687"/>
    <w:rsid w:val="00E047C7"/>
    <w:rsid w:val="00E078CF"/>
    <w:rsid w:val="00E108B5"/>
    <w:rsid w:val="00E11348"/>
    <w:rsid w:val="00E120CB"/>
    <w:rsid w:val="00E1240A"/>
    <w:rsid w:val="00E12ACB"/>
    <w:rsid w:val="00E14AF3"/>
    <w:rsid w:val="00E16F1C"/>
    <w:rsid w:val="00E216A6"/>
    <w:rsid w:val="00E257A9"/>
    <w:rsid w:val="00E265C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1870"/>
    <w:rsid w:val="00E6567A"/>
    <w:rsid w:val="00E66307"/>
    <w:rsid w:val="00E70451"/>
    <w:rsid w:val="00E7173B"/>
    <w:rsid w:val="00E72275"/>
    <w:rsid w:val="00E74481"/>
    <w:rsid w:val="00E7668B"/>
    <w:rsid w:val="00E77DA6"/>
    <w:rsid w:val="00E83445"/>
    <w:rsid w:val="00E8599A"/>
    <w:rsid w:val="00E90A51"/>
    <w:rsid w:val="00E9380C"/>
    <w:rsid w:val="00E94B3D"/>
    <w:rsid w:val="00E971B9"/>
    <w:rsid w:val="00EA492B"/>
    <w:rsid w:val="00EA6270"/>
    <w:rsid w:val="00EA6B96"/>
    <w:rsid w:val="00EA73F0"/>
    <w:rsid w:val="00EB04F5"/>
    <w:rsid w:val="00EB08AB"/>
    <w:rsid w:val="00EC03C1"/>
    <w:rsid w:val="00EC0897"/>
    <w:rsid w:val="00EC2AA1"/>
    <w:rsid w:val="00EC2B38"/>
    <w:rsid w:val="00EC3DDE"/>
    <w:rsid w:val="00ED003C"/>
    <w:rsid w:val="00ED7ED0"/>
    <w:rsid w:val="00EE1057"/>
    <w:rsid w:val="00EE202B"/>
    <w:rsid w:val="00EE20EA"/>
    <w:rsid w:val="00EE3105"/>
    <w:rsid w:val="00EE392C"/>
    <w:rsid w:val="00EE4CAC"/>
    <w:rsid w:val="00EE71D4"/>
    <w:rsid w:val="00EE788F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CA3"/>
    <w:rsid w:val="00F47DAF"/>
    <w:rsid w:val="00F506BB"/>
    <w:rsid w:val="00F515A5"/>
    <w:rsid w:val="00F57EA2"/>
    <w:rsid w:val="00F60FAF"/>
    <w:rsid w:val="00F65030"/>
    <w:rsid w:val="00F6761C"/>
    <w:rsid w:val="00F7098D"/>
    <w:rsid w:val="00F717A6"/>
    <w:rsid w:val="00F777AC"/>
    <w:rsid w:val="00F86411"/>
    <w:rsid w:val="00F870A4"/>
    <w:rsid w:val="00F87C62"/>
    <w:rsid w:val="00F927F1"/>
    <w:rsid w:val="00F93214"/>
    <w:rsid w:val="00F93D20"/>
    <w:rsid w:val="00FA03E2"/>
    <w:rsid w:val="00FA389F"/>
    <w:rsid w:val="00FA6273"/>
    <w:rsid w:val="00FA6959"/>
    <w:rsid w:val="00FA6FAF"/>
    <w:rsid w:val="00FA7953"/>
    <w:rsid w:val="00FA7EF0"/>
    <w:rsid w:val="00FB1E8B"/>
    <w:rsid w:val="00FB542D"/>
    <w:rsid w:val="00FB6B3C"/>
    <w:rsid w:val="00FC0B7F"/>
    <w:rsid w:val="00FC6A1E"/>
    <w:rsid w:val="00FD0B7F"/>
    <w:rsid w:val="00FD1AD2"/>
    <w:rsid w:val="00FD1DF6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5049C"/>
  <w15:docId w15:val="{D446DE7C-C21C-4CDB-9F6C-86985F7F0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276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8471D0"/>
    <w:pPr>
      <w:keepNext/>
      <w:spacing w:after="240"/>
      <w:outlineLvl w:val="0"/>
    </w:pPr>
    <w:rPr>
      <w:rFonts w:ascii="Century Gothic" w:hAnsi="Century Gothic" w:cs="Arial"/>
      <w:b/>
      <w:bCs/>
      <w:color w:val="1E73B9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8471D0"/>
    <w:pPr>
      <w:keepNext/>
      <w:spacing w:before="240" w:line="240" w:lineRule="auto"/>
      <w:outlineLvl w:val="1"/>
    </w:pPr>
    <w:rPr>
      <w:rFonts w:ascii="Century Gothic" w:hAnsi="Century Gothic" w:cs="Arial"/>
      <w:b/>
      <w:bCs/>
      <w:iCs/>
      <w:color w:val="717171"/>
      <w:sz w:val="30"/>
      <w:szCs w:val="28"/>
    </w:rPr>
  </w:style>
  <w:style w:type="paragraph" w:styleId="Heading3">
    <w:name w:val="heading 3"/>
    <w:basedOn w:val="Normal"/>
    <w:next w:val="Normal"/>
    <w:qFormat/>
    <w:rsid w:val="002E2F52"/>
    <w:pPr>
      <w:keepNext/>
      <w:spacing w:before="240"/>
      <w:outlineLvl w:val="2"/>
    </w:pPr>
    <w:rPr>
      <w:rFonts w:ascii="Century Gothic" w:hAnsi="Century Gothic" w:cs="Arial"/>
      <w:b/>
      <w:bCs/>
      <w:color w:val="717171"/>
      <w:sz w:val="26"/>
      <w:szCs w:val="26"/>
    </w:rPr>
  </w:style>
  <w:style w:type="paragraph" w:styleId="Heading4">
    <w:name w:val="heading 4"/>
    <w:basedOn w:val="Normal"/>
    <w:next w:val="Normal"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8471D0"/>
    <w:pPr>
      <w:numPr>
        <w:numId w:val="3"/>
      </w:numPr>
      <w:ind w:left="568" w:hanging="284"/>
    </w:pPr>
  </w:style>
  <w:style w:type="paragraph" w:styleId="TOC1">
    <w:name w:val="toc 1"/>
    <w:basedOn w:val="Normal"/>
    <w:next w:val="Normal"/>
    <w:autoRedefine/>
    <w:semiHidden/>
    <w:rsid w:val="00566AFF"/>
    <w:rPr>
      <w:b/>
      <w:color w:val="A2027B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264276"/>
    <w:rPr>
      <w:rFonts w:ascii="Calibri" w:hAnsi="Calibri"/>
      <w:b/>
      <w:color w:val="1F497D" w:themeColor="text2"/>
      <w:sz w:val="22"/>
      <w:u w:val="none"/>
    </w:rPr>
  </w:style>
  <w:style w:type="table" w:styleId="TableGrid">
    <w:name w:val="Table Grid"/>
    <w:basedOn w:val="TableNormal"/>
    <w:uiPriority w:val="39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Cambria" w:hAnsi="Cambri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link w:val="BodyTextChar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basedOn w:val="DefaultParagraphFont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8471D0"/>
    <w:pPr>
      <w:numPr>
        <w:numId w:val="4"/>
      </w:numPr>
      <w:ind w:left="1135" w:hanging="284"/>
    </w:pPr>
  </w:style>
  <w:style w:type="paragraph" w:styleId="ListBullet3">
    <w:name w:val="List Bullet 3"/>
    <w:basedOn w:val="ListBullet2"/>
    <w:qFormat/>
    <w:rsid w:val="002E2F52"/>
    <w:pPr>
      <w:numPr>
        <w:numId w:val="5"/>
      </w:numPr>
      <w:ind w:left="1702" w:hanging="284"/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styleId="Quote">
    <w:name w:val="Quote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paragraph" w:customStyle="1" w:styleId="OLPtableheader">
    <w:name w:val="OLP table header"/>
    <w:basedOn w:val="Normal"/>
    <w:qFormat/>
    <w:rsid w:val="00C62F8D"/>
    <w:pPr>
      <w:spacing w:after="0"/>
      <w:jc w:val="left"/>
    </w:pPr>
  </w:style>
  <w:style w:type="paragraph" w:customStyle="1" w:styleId="OLPtablebody">
    <w:name w:val="OLP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160A"/>
    <w:rPr>
      <w:rFonts w:ascii="Tahoma" w:hAnsi="Tahoma" w:cs="Tahoma"/>
      <w:sz w:val="16"/>
      <w:szCs w:val="16"/>
    </w:rPr>
  </w:style>
  <w:style w:type="table" w:customStyle="1" w:styleId="OLP">
    <w:name w:val="OLP"/>
    <w:basedOn w:val="TableNormal"/>
    <w:uiPriority w:val="99"/>
    <w:rsid w:val="00A815D7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Calibri" w:hAnsi="Calibri"/>
        <w:b/>
        <w:color w:val="FFFFFF" w:themeColor="background1"/>
        <w:sz w:val="22"/>
      </w:rPr>
      <w:tblPr/>
      <w:tcPr>
        <w:shd w:val="clear" w:color="auto" w:fill="1E73B9" w:themeFill="accent1"/>
      </w:tcPr>
    </w:tblStylePr>
  </w:style>
  <w:style w:type="character" w:customStyle="1" w:styleId="BodyTextChar">
    <w:name w:val="Body Text Char"/>
    <w:basedOn w:val="DefaultParagraphFont"/>
    <w:link w:val="BodyText"/>
    <w:rsid w:val="00264276"/>
    <w:rPr>
      <w:rFonts w:ascii="Calibri" w:hAnsi="Calibri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E5516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6D8F"/>
    <w:pPr>
      <w:spacing w:after="160" w:line="240" w:lineRule="auto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6D8F"/>
    <w:rPr>
      <w:rFonts w:asciiTheme="minorHAnsi" w:eastAsiaTheme="minorHAnsi" w:hAnsiTheme="minorHAnsi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F6D8F"/>
    <w:rPr>
      <w:sz w:val="16"/>
      <w:szCs w:val="16"/>
    </w:rPr>
  </w:style>
  <w:style w:type="paragraph" w:customStyle="1" w:styleId="BPNtablebody">
    <w:name w:val="BPN table body"/>
    <w:basedOn w:val="Normal"/>
    <w:qFormat/>
    <w:rsid w:val="00CB668F"/>
    <w:pPr>
      <w:spacing w:before="60" w:after="60"/>
      <w:jc w:val="left"/>
    </w:pPr>
  </w:style>
  <w:style w:type="character" w:customStyle="1" w:styleId="Heading1Char">
    <w:name w:val="Heading 1 Char"/>
    <w:basedOn w:val="DefaultParagraphFont"/>
    <w:link w:val="Heading1"/>
    <w:rsid w:val="006F311E"/>
    <w:rPr>
      <w:rFonts w:ascii="Century Gothic" w:hAnsi="Century Gothic" w:cs="Arial"/>
      <w:b/>
      <w:bCs/>
      <w:color w:val="1E73B9"/>
      <w:kern w:val="3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timate-my-apprenticeship-funding.sfa.bis.gov.uk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uidance/apprenticeship-funding-rules-for-employers/apprenticeships-funded-by-transfer-of-levy-funds" TargetMode="External"/><Relationship Id="rId12" Type="http://schemas.openxmlformats.org/officeDocument/2006/relationships/hyperlink" Target="https://www.apprenticeships.gov.uk/employer/how-much-is-it-going-to-c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uidance/manage-apprenticeship-fund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facontactforms.azurewebsites.net/employer-enqui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apprenticeship-funding-rules-for-employers/apprenticeships-funded-by-transfer-of-levy-fund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L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E73B9"/>
      </a:accent1>
      <a:accent2>
        <a:srgbClr val="717171"/>
      </a:accent2>
      <a:accent3>
        <a:srgbClr val="B7B7B7"/>
      </a:accent3>
      <a:accent4>
        <a:srgbClr val="73A1D0"/>
      </a:accent4>
      <a:accent5>
        <a:srgbClr val="548DD4"/>
      </a:accent5>
      <a:accent6>
        <a:srgbClr val="A9A9A9"/>
      </a:accent6>
      <a:hlink>
        <a:srgbClr val="1E73B9"/>
      </a:hlink>
      <a:folHlink>
        <a:srgbClr val="1E73B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Best Practice Network</Company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Ludlow</dc:creator>
  <cp:lastModifiedBy>Gary Broom</cp:lastModifiedBy>
  <cp:revision>2</cp:revision>
  <cp:lastPrinted>2010-12-03T15:34:00Z</cp:lastPrinted>
  <dcterms:created xsi:type="dcterms:W3CDTF">2020-04-29T15:18:00Z</dcterms:created>
  <dcterms:modified xsi:type="dcterms:W3CDTF">2020-04-29T15:18:00Z</dcterms:modified>
</cp:coreProperties>
</file>